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DAE2" w14:textId="77777777" w:rsidR="00CA66B3" w:rsidRDefault="00CA66B3">
      <w:pPr>
        <w:spacing w:after="0" w:line="259" w:lineRule="auto"/>
        <w:ind w:left="0" w:firstLine="0"/>
        <w:jc w:val="right"/>
      </w:pPr>
    </w:p>
    <w:p w14:paraId="2A35B63E" w14:textId="1E8D3F33" w:rsidR="00F9474D" w:rsidRDefault="00E166EA">
      <w:pPr>
        <w:spacing w:after="0" w:line="259" w:lineRule="auto"/>
        <w:ind w:left="0" w:firstLine="0"/>
        <w:jc w:val="right"/>
      </w:pPr>
      <w:r>
        <w:t>May 27</w:t>
      </w:r>
      <w:r w:rsidR="0042339E">
        <w:t>, 2020</w:t>
      </w: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60B1B322" w:rsidR="00F9474D" w:rsidRDefault="00E166EA">
      <w:pPr>
        <w:spacing w:after="26"/>
        <w:ind w:left="-5" w:right="28"/>
      </w:pPr>
      <w:r>
        <w:t>May 27</w:t>
      </w:r>
      <w:r w:rsidR="002C2FBE">
        <w:t xml:space="preserve">, </w:t>
      </w:r>
      <w:r w:rsidR="005B662D">
        <w:t>20</w:t>
      </w:r>
      <w:r w:rsidR="0042339E">
        <w:t>20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>Rick Maranell</w:t>
      </w:r>
      <w:r w:rsidR="00B07219">
        <w:t>, and Josh Rydberg</w:t>
      </w:r>
      <w:r w:rsidR="003905F3">
        <w:t xml:space="preserve">. </w:t>
      </w:r>
      <w:r w:rsidR="00366388">
        <w:t xml:space="preserve"> O</w:t>
      </w:r>
      <w:r w:rsidR="00F5721E">
        <w:t xml:space="preserve">thers </w:t>
      </w:r>
      <w:r w:rsidR="004864ED">
        <w:t xml:space="preserve">present:  </w:t>
      </w:r>
      <w:r w:rsidR="00B07219">
        <w:t>Jim Zeutenhorst</w:t>
      </w:r>
      <w:r w:rsidR="00244198">
        <w:t>.</w:t>
      </w:r>
    </w:p>
    <w:p w14:paraId="3893C6D8" w14:textId="77777777"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14:paraId="18402FAE" w14:textId="23997321" w:rsidR="00F9474D" w:rsidRDefault="00366388">
      <w:pPr>
        <w:ind w:left="-5" w:right="28"/>
      </w:pPr>
      <w:r>
        <w:t>Motion</w:t>
      </w:r>
      <w:r w:rsidR="0042339E">
        <w:t xml:space="preserve"> </w:t>
      </w:r>
      <w:r w:rsidR="00E166EA">
        <w:t>Boelter</w:t>
      </w:r>
      <w:r w:rsidR="008023B7">
        <w:t xml:space="preserve">, </w:t>
      </w:r>
      <w:r>
        <w:t xml:space="preserve">seconded by </w:t>
      </w:r>
      <w:r w:rsidR="00E166EA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14:paraId="7171DD35" w14:textId="7C24621A" w:rsidR="00355562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853F9D">
        <w:t>Boelter,</w:t>
      </w:r>
      <w:r w:rsidR="00206B10">
        <w:t xml:space="preserve"> seconded by</w:t>
      </w:r>
      <w:r w:rsidR="00291AD9">
        <w:t xml:space="preserve"> </w:t>
      </w:r>
      <w:r w:rsidR="00853F9D">
        <w:t>Maranell</w:t>
      </w:r>
      <w:r w:rsidR="007930B2">
        <w:t xml:space="preserve"> </w:t>
      </w:r>
      <w:r w:rsidR="00206B10">
        <w:t>to approve the</w:t>
      </w:r>
      <w:r w:rsidR="0042339E">
        <w:t xml:space="preserve"> </w:t>
      </w:r>
      <w:r w:rsidR="00E166EA">
        <w:t>April 29</w:t>
      </w:r>
      <w:r w:rsidR="00734A14">
        <w:t>, 20</w:t>
      </w:r>
      <w:r w:rsidR="00D24AC6">
        <w:t>20</w:t>
      </w:r>
      <w:r w:rsidR="00F223A7">
        <w:t>,</w:t>
      </w:r>
      <w:r w:rsidR="00206B10">
        <w:t xml:space="preserve"> minutes and approve the following bills for payment.  Motion carried</w:t>
      </w:r>
      <w:r w:rsidR="00071A7E">
        <w:t xml:space="preserve"> </w:t>
      </w:r>
      <w:r w:rsidR="00734A14">
        <w:t>3</w:t>
      </w:r>
      <w:r w:rsidR="00206B10">
        <w:t>-0.</w:t>
      </w:r>
    </w:p>
    <w:p w14:paraId="7F550BF2" w14:textId="464165CD" w:rsidR="0042339E" w:rsidRDefault="0042339E" w:rsidP="002F1CDA">
      <w:pPr>
        <w:spacing w:after="26"/>
        <w:ind w:left="0" w:right="28" w:firstLine="0"/>
        <w:rPr>
          <w:noProof/>
        </w:rPr>
      </w:pPr>
    </w:p>
    <w:tbl>
      <w:tblPr>
        <w:tblW w:w="20892" w:type="dxa"/>
        <w:tblInd w:w="-460" w:type="dxa"/>
        <w:tblLook w:val="04A0" w:firstRow="1" w:lastRow="0" w:firstColumn="1" w:lastColumn="0" w:noHBand="0" w:noVBand="1"/>
      </w:tblPr>
      <w:tblGrid>
        <w:gridCol w:w="10692"/>
        <w:gridCol w:w="3760"/>
        <w:gridCol w:w="4660"/>
        <w:gridCol w:w="1780"/>
      </w:tblGrid>
      <w:tr w:rsidR="00C41CD6" w:rsidRPr="00C41CD6" w14:paraId="02520DA1" w14:textId="77777777" w:rsidTr="004864ED">
        <w:trPr>
          <w:trHeight w:val="328"/>
        </w:trPr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400" w:type="dxa"/>
              <w:tblLook w:val="04A0" w:firstRow="1" w:lastRow="0" w:firstColumn="1" w:lastColumn="0" w:noHBand="0" w:noVBand="1"/>
            </w:tblPr>
            <w:tblGrid>
              <w:gridCol w:w="316"/>
              <w:gridCol w:w="3300"/>
              <w:gridCol w:w="5060"/>
              <w:gridCol w:w="1800"/>
            </w:tblGrid>
            <w:tr w:rsidR="004864ED" w:rsidRPr="004864ED" w14:paraId="61848203" w14:textId="77777777" w:rsidTr="004864ED">
              <w:trPr>
                <w:trHeight w:val="324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BEFAF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6FA7E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proofErr w:type="spellStart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Balt</w:t>
                  </w:r>
                  <w:proofErr w:type="spellEnd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, Robert &amp; Lynn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49F86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New Construction Incentive - electric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892CB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$5,000.00 </w:t>
                  </w:r>
                </w:p>
              </w:tc>
            </w:tr>
            <w:tr w:rsidR="004864ED" w:rsidRPr="004864ED" w14:paraId="5215AEE8" w14:textId="77777777" w:rsidTr="004864ED">
              <w:trPr>
                <w:trHeight w:val="327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7C8821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F2810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Border States Electric Supply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0D1FD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Distribution </w:t>
                  </w:r>
                  <w:proofErr w:type="spellStart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maint</w:t>
                  </w:r>
                  <w:proofErr w:type="spellEnd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F4D17E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$301.61 </w:t>
                  </w:r>
                </w:p>
              </w:tc>
            </w:tr>
            <w:tr w:rsidR="004864ED" w:rsidRPr="004864ED" w14:paraId="7C804E7D" w14:textId="77777777" w:rsidTr="004864ED">
              <w:trPr>
                <w:trHeight w:val="327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3D5D8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F97F5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City of Sanborn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57FB3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City Hall expenses for April 2020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0CCDF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$3,373.31 </w:t>
                  </w:r>
                </w:p>
              </w:tc>
            </w:tr>
            <w:tr w:rsidR="004864ED" w:rsidRPr="004864ED" w14:paraId="4EEFFF06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501C8D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432E6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EFTPS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18E0C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FICA, Medicare &amp; Federal taxes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36328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$5,387.92 </w:t>
                  </w:r>
                </w:p>
              </w:tc>
            </w:tr>
            <w:tr w:rsidR="004864ED" w:rsidRPr="004864ED" w14:paraId="03E9C3D3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176F01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A73CB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Iowa Department of Revenue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92B4E" w14:textId="2298403A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Sales Tax - April &amp; May 2020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F3325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$9,516.07 </w:t>
                  </w:r>
                </w:p>
              </w:tc>
            </w:tr>
            <w:tr w:rsidR="004864ED" w:rsidRPr="004864ED" w14:paraId="6FAB722E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0A1DAA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0DC73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Iowa Department of Revenue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5EB83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State Withholding - 1st Quarter 2020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8E238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$2,647.00 </w:t>
                  </w:r>
                </w:p>
              </w:tc>
            </w:tr>
            <w:tr w:rsidR="004864ED" w:rsidRPr="004864ED" w14:paraId="189A1D42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4847DF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A04EA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Iowa Department of Revenue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B42C0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Use Tax - 1st Quarter 2020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C8D01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$30.00 </w:t>
                  </w:r>
                </w:p>
              </w:tc>
            </w:tr>
            <w:tr w:rsidR="004864ED" w:rsidRPr="004864ED" w14:paraId="7E7D9E0A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121CC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A917D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Iowa State Bank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C1DFD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H.S.A. contrib. by employees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72184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$240.00</w:t>
                  </w:r>
                </w:p>
              </w:tc>
            </w:tr>
            <w:tr w:rsidR="004864ED" w:rsidRPr="004864ED" w14:paraId="5D406DDF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24E4B6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6F65C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IPERS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5CB8A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IPERS for April 2020 wages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E35BC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$3,687.15</w:t>
                  </w:r>
                </w:p>
              </w:tc>
            </w:tr>
            <w:tr w:rsidR="004864ED" w:rsidRPr="004864ED" w14:paraId="596D82E8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3F887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217D3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Harry's Motor, Ltd.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8F01D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maint</w:t>
                  </w:r>
                  <w:proofErr w:type="spellEnd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0691E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$46.69</w:t>
                  </w:r>
                </w:p>
              </w:tc>
            </w:tr>
            <w:tr w:rsidR="004864ED" w:rsidRPr="004864ED" w14:paraId="07163187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43E468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E59BA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IRBY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4F649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Inventory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90D76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$3,950.00</w:t>
                  </w:r>
                </w:p>
              </w:tc>
            </w:tr>
            <w:tr w:rsidR="004864ED" w:rsidRPr="004864ED" w14:paraId="3FD78836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76C15C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4E4E6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Lawson Products, Inc.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E3CC5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maint</w:t>
                  </w:r>
                  <w:proofErr w:type="spellEnd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E3D04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$101.18</w:t>
                  </w:r>
                </w:p>
              </w:tc>
            </w:tr>
            <w:tr w:rsidR="004864ED" w:rsidRPr="004864ED" w14:paraId="49AAAF83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915D94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FC810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Marcus News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AEAB9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Advertising, subscriptions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B9E0A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$94.58</w:t>
                  </w:r>
                </w:p>
              </w:tc>
            </w:tr>
            <w:tr w:rsidR="004864ED" w:rsidRPr="004864ED" w14:paraId="153468F5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1C122D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21D2B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Missouri River Energy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5C5C6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Purchased power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11DE2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$83,174.00 </w:t>
                  </w:r>
                </w:p>
              </w:tc>
            </w:tr>
            <w:tr w:rsidR="004864ED" w:rsidRPr="004864ED" w14:paraId="3F2B7787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AB2A3E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03895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Sanborn Building Center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77E7A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Distribution </w:t>
                  </w:r>
                  <w:proofErr w:type="spellStart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maint</w:t>
                  </w:r>
                  <w:proofErr w:type="spellEnd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BD9B2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$23.40 </w:t>
                  </w:r>
                </w:p>
              </w:tc>
            </w:tr>
            <w:tr w:rsidR="004864ED" w:rsidRPr="004864ED" w14:paraId="701ECA05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95453F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E3523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Sanborn Daycare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962D9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Donations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1E9B0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$325.00 </w:t>
                  </w:r>
                </w:p>
              </w:tc>
            </w:tr>
            <w:tr w:rsidR="004864ED" w:rsidRPr="004864ED" w14:paraId="7472425A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390DC9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2CE7B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Sanborn Hardware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82532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maint</w:t>
                  </w:r>
                  <w:proofErr w:type="spellEnd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7A0D8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$103.91 </w:t>
                  </w:r>
                </w:p>
              </w:tc>
            </w:tr>
            <w:tr w:rsidR="004864ED" w:rsidRPr="004864ED" w14:paraId="5F0576C1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686643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80403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Sanborn Municipal Utilities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EC19B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Utilities - warehouse, plant, substation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61AF9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$1,254.99 </w:t>
                  </w:r>
                </w:p>
              </w:tc>
            </w:tr>
            <w:tr w:rsidR="004864ED" w:rsidRPr="004864ED" w14:paraId="4BDC873D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A9C212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72552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Sanborn Propane &amp; Oil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FB381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Transp. expense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600E1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$293.49 </w:t>
                  </w:r>
                </w:p>
              </w:tc>
            </w:tr>
            <w:tr w:rsidR="004864ED" w:rsidRPr="004864ED" w14:paraId="05D1A038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3D1549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68176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Sanborn Savings Bank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173F2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H.S.A. Contrib. by employees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9C9DB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$400.00 </w:t>
                  </w:r>
                </w:p>
              </w:tc>
            </w:tr>
            <w:tr w:rsidR="004864ED" w:rsidRPr="004864ED" w14:paraId="7312B7A4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FC26A9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40294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Smith, Nick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3B1CC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Misc. expense - reimbursement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8A444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$16.17 </w:t>
                  </w:r>
                </w:p>
              </w:tc>
            </w:tr>
            <w:tr w:rsidR="004864ED" w:rsidRPr="004864ED" w14:paraId="6DE05C5C" w14:textId="77777777" w:rsidTr="004864ED">
              <w:trPr>
                <w:trHeight w:val="33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1C00FF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EF833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The Community Agency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493E4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Phone/Internet/Cable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A8A16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$145.01 </w:t>
                  </w:r>
                </w:p>
              </w:tc>
            </w:tr>
            <w:tr w:rsidR="004864ED" w:rsidRPr="004864ED" w14:paraId="2FFE3D61" w14:textId="77777777" w:rsidTr="004864ED">
              <w:trPr>
                <w:trHeight w:val="33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44249D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D8A27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Tri-State Gutter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9E251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maint</w:t>
                  </w:r>
                  <w:proofErr w:type="spellEnd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C29DA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$560.00 </w:t>
                  </w:r>
                </w:p>
              </w:tc>
            </w:tr>
            <w:tr w:rsidR="004864ED" w:rsidRPr="004864ED" w14:paraId="6ECCF718" w14:textId="77777777" w:rsidTr="004864ED">
              <w:trPr>
                <w:trHeight w:val="33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857A05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6EC1A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proofErr w:type="spellStart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VanHouten</w:t>
                  </w:r>
                  <w:proofErr w:type="spellEnd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, Scott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C9CEE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Housing incentive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D171F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$5,000.00 </w:t>
                  </w:r>
                </w:p>
              </w:tc>
            </w:tr>
            <w:tr w:rsidR="004864ED" w:rsidRPr="004864ED" w14:paraId="2EBC7792" w14:textId="77777777" w:rsidTr="004864ED">
              <w:trPr>
                <w:trHeight w:val="33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305711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9110E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VISA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FEC74" w14:textId="503A746A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Safety, Plant &amp; vehic</w:t>
                  </w:r>
                  <w:r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l</w:t>
                  </w: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e </w:t>
                  </w:r>
                  <w:proofErr w:type="spellStart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maint</w:t>
                  </w:r>
                  <w:proofErr w:type="spellEnd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, Transp. exp, </w:t>
                  </w:r>
                  <w:r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office s</w:t>
                  </w: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upplies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ED19E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$976.89 </w:t>
                  </w:r>
                </w:p>
              </w:tc>
            </w:tr>
            <w:tr w:rsidR="004864ED" w:rsidRPr="004864ED" w14:paraId="28894899" w14:textId="77777777" w:rsidTr="004864ED">
              <w:trPr>
                <w:trHeight w:val="327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43ED14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AC99B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WAPA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51D62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Purchased power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50122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$21,147.25 </w:t>
                  </w:r>
                </w:p>
              </w:tc>
            </w:tr>
            <w:tr w:rsidR="004864ED" w:rsidRPr="004864ED" w14:paraId="1BC9419B" w14:textId="77777777" w:rsidTr="004864ED">
              <w:trPr>
                <w:trHeight w:val="327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B2E7DB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580F8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Wesco Distribution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17DB6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Inventory, </w:t>
                  </w:r>
                  <w:proofErr w:type="spellStart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Distrib</w:t>
                  </w:r>
                  <w:proofErr w:type="spellEnd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. </w:t>
                  </w:r>
                  <w:proofErr w:type="spellStart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maint</w:t>
                  </w:r>
                  <w:proofErr w:type="spellEnd"/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0A43B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$9,460.46 </w:t>
                  </w:r>
                </w:p>
              </w:tc>
            </w:tr>
            <w:tr w:rsidR="004864ED" w:rsidRPr="004864ED" w14:paraId="6591B064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E68671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05A32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0EC08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BCDC4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 xml:space="preserve">$157,256.08 </w:t>
                  </w:r>
                </w:p>
              </w:tc>
            </w:tr>
            <w:tr w:rsidR="004864ED" w:rsidRPr="004864ED" w14:paraId="79AE1D3E" w14:textId="77777777" w:rsidTr="004864ED">
              <w:trPr>
                <w:trHeight w:val="294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28E484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35CEB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 w:val="22"/>
                      <w:u w:val="single"/>
                    </w:rPr>
                    <w:t>MISC.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0695B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6948F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4864ED" w:rsidRPr="004864ED" w14:paraId="09D62C29" w14:textId="77777777" w:rsidTr="004864ED">
              <w:trPr>
                <w:trHeight w:val="258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A4D7EC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C5112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Meter Deposit Refunds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F25A9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No refunds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4A3A1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 </w:t>
                  </w:r>
                </w:p>
              </w:tc>
            </w:tr>
            <w:tr w:rsidR="004864ED" w:rsidRPr="004864ED" w14:paraId="1C69473A" w14:textId="77777777" w:rsidTr="004864ED">
              <w:trPr>
                <w:trHeight w:val="28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68DE1C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DC15E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03441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153D1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 xml:space="preserve">$0.00 </w:t>
                  </w:r>
                </w:p>
              </w:tc>
            </w:tr>
            <w:tr w:rsidR="004864ED" w:rsidRPr="004864ED" w14:paraId="7B5944DD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DE4ECB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1899B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 w:val="22"/>
                      <w:u w:val="single"/>
                    </w:rPr>
                    <w:t>EMPLOYEE BENEFIT FUND: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8BA34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C2DE3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4864ED" w:rsidRPr="004864ED" w14:paraId="2C2F0E7C" w14:textId="77777777" w:rsidTr="004864ED">
              <w:trPr>
                <w:trHeight w:val="315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3C59A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06D67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Aflac 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1D4B3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Aflac for April 2020 payroll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9870F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$336.86 </w:t>
                  </w:r>
                </w:p>
              </w:tc>
            </w:tr>
            <w:tr w:rsidR="004864ED" w:rsidRPr="004864ED" w14:paraId="0BB7B79D" w14:textId="77777777" w:rsidTr="004864ED">
              <w:trPr>
                <w:trHeight w:val="315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4B8231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E4ECA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Delta Dental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1960B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Dental Insurance for June 2020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5E4CF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$126.28 </w:t>
                  </w:r>
                </w:p>
              </w:tc>
            </w:tr>
            <w:tr w:rsidR="004864ED" w:rsidRPr="004864ED" w14:paraId="1911FE8F" w14:textId="77777777" w:rsidTr="004864ED">
              <w:trPr>
                <w:trHeight w:val="315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0BB06B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BBD0F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Iowa State Bank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0A72A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HSA Contrib. for April 2020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9D160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$200.00 </w:t>
                  </w:r>
                </w:p>
              </w:tc>
            </w:tr>
            <w:tr w:rsidR="004864ED" w:rsidRPr="004864ED" w14:paraId="551A8451" w14:textId="77777777" w:rsidTr="004864ED">
              <w:trPr>
                <w:trHeight w:val="315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5F6DA4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E278A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Sanborn Savings Bank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F8F62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HSA Contrib. for April 2020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C6990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$283.00 </w:t>
                  </w:r>
                </w:p>
              </w:tc>
            </w:tr>
            <w:tr w:rsidR="004864ED" w:rsidRPr="004864ED" w14:paraId="05B77E88" w14:textId="77777777" w:rsidTr="004864ED">
              <w:trPr>
                <w:trHeight w:val="315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52EA72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8FB26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United Healthcare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78B4A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Life Insurance for June 2020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76F59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$170.81 </w:t>
                  </w:r>
                </w:p>
              </w:tc>
            </w:tr>
            <w:tr w:rsidR="004864ED" w:rsidRPr="004864ED" w14:paraId="25FEEA6F" w14:textId="77777777" w:rsidTr="004864ED">
              <w:trPr>
                <w:trHeight w:val="315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7DC8AC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86133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Wellmark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5BEF7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>Health Insurance for June 2020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BD09D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  <w:t xml:space="preserve">$6,523.85 </w:t>
                  </w:r>
                </w:p>
              </w:tc>
            </w:tr>
            <w:tr w:rsidR="004864ED" w:rsidRPr="004864ED" w14:paraId="0930BA2C" w14:textId="77777777" w:rsidTr="004864ED">
              <w:trPr>
                <w:trHeight w:val="28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745E2B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color w:val="auto"/>
                      <w:szCs w:val="20"/>
                    </w:rPr>
                  </w:pP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D7A26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3FE8A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8BBFE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 xml:space="preserve">$7,640.80 </w:t>
                  </w:r>
                </w:p>
              </w:tc>
            </w:tr>
            <w:tr w:rsidR="004864ED" w:rsidRPr="004864ED" w14:paraId="60C2507E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62D49F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8398CD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 w:val="18"/>
                      <w:szCs w:val="18"/>
                    </w:rPr>
                  </w:pPr>
                  <w:r w:rsidRPr="004864ED">
                    <w:rPr>
                      <w:rFonts w:ascii="Calibri" w:eastAsia="Times New Roman" w:hAnsi="Calibri" w:cs="Calibri"/>
                      <w:color w:val="auto"/>
                      <w:sz w:val="18"/>
                      <w:szCs w:val="18"/>
                    </w:rPr>
                    <w:t>checks issued prior to meeting.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9BD6D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4C6FC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4864ED" w:rsidRPr="004864ED" w14:paraId="5EC03637" w14:textId="77777777" w:rsidTr="004864ED">
              <w:trPr>
                <w:trHeight w:val="312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96CC4A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280202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 w:val="18"/>
                      <w:szCs w:val="18"/>
                    </w:rPr>
                    <w:t>TOTAL ALL FUNDS: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1D960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Calibr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CF8C3" w14:textId="77777777" w:rsidR="004864ED" w:rsidRPr="004864ED" w:rsidRDefault="004864ED" w:rsidP="004864ED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</w:pPr>
                  <w:r w:rsidRPr="004864ED">
                    <w:rPr>
                      <w:rFonts w:ascii="Calibri" w:eastAsia="Times New Roman" w:hAnsi="Calibri" w:cs="Calibri"/>
                      <w:b/>
                      <w:bCs/>
                      <w:color w:val="auto"/>
                      <w:szCs w:val="20"/>
                    </w:rPr>
                    <w:t xml:space="preserve">$164,896.88 </w:t>
                  </w:r>
                </w:p>
              </w:tc>
            </w:tr>
          </w:tbl>
          <w:p w14:paraId="7A0F87C8" w14:textId="547E446F" w:rsidR="00C41CD6" w:rsidRPr="00C41CD6" w:rsidRDefault="00C41CD6" w:rsidP="00C41CD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5D2AA" w14:textId="77777777" w:rsidR="00C41CD6" w:rsidRDefault="00C41CD6" w:rsidP="00C41CD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  <w:p w14:paraId="5ED4B6BD" w14:textId="77777777" w:rsidR="004864ED" w:rsidRDefault="004864ED" w:rsidP="00C41CD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  <w:p w14:paraId="6236DD0E" w14:textId="77777777" w:rsidR="004864ED" w:rsidRDefault="004864ED" w:rsidP="00C41CD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  <w:p w14:paraId="40D8F1A7" w14:textId="21736001" w:rsidR="004864ED" w:rsidRPr="00C41CD6" w:rsidRDefault="004864ED" w:rsidP="00C41CD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B6005" w14:textId="4620083B" w:rsidR="00C41CD6" w:rsidRPr="00C41CD6" w:rsidRDefault="00C41CD6" w:rsidP="00C41CD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7D2D" w14:textId="1C320615" w:rsidR="00C41CD6" w:rsidRPr="00C41CD6" w:rsidRDefault="00C41CD6" w:rsidP="00C41CD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</w:tr>
      <w:tr w:rsidR="00C41CD6" w:rsidRPr="00C41CD6" w14:paraId="722784B6" w14:textId="77777777" w:rsidTr="004864ED">
        <w:trPr>
          <w:trHeight w:val="328"/>
        </w:trPr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18AB8" w14:textId="75F7EC32" w:rsidR="00C41CD6" w:rsidRPr="00C41CD6" w:rsidRDefault="00C41CD6" w:rsidP="00C41CD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3754A" w14:textId="3B924899" w:rsidR="00C41CD6" w:rsidRPr="00C41CD6" w:rsidRDefault="00C41CD6" w:rsidP="00C41CD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74417" w14:textId="1FA29747" w:rsidR="00C41CD6" w:rsidRPr="00C41CD6" w:rsidRDefault="00C41CD6" w:rsidP="00C41CD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C06A4" w14:textId="0B142A2C" w:rsidR="00C41CD6" w:rsidRPr="00C41CD6" w:rsidRDefault="00C41CD6" w:rsidP="00C41CD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</w:tr>
    </w:tbl>
    <w:p w14:paraId="38402088" w14:textId="03CF8931" w:rsidR="00F63036" w:rsidRDefault="00F63036" w:rsidP="002F1CDA">
      <w:pPr>
        <w:spacing w:after="26"/>
        <w:ind w:left="0" w:right="28" w:firstLine="0"/>
        <w:rPr>
          <w:rFonts w:asciiTheme="minorHAnsi" w:eastAsiaTheme="minorEastAsia" w:hAnsiTheme="minorHAnsi" w:cstheme="minorBidi"/>
          <w:color w:val="auto"/>
          <w:sz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C377D4">
        <w:rPr>
          <w:noProof/>
        </w:rPr>
        <w:instrText xml:space="preserve">Excel.Sheet.8 "\\\\server\\users\\Shared\\Suzi\\Xcel\\E &amp; T Board\\2019\\Bill Lists\\07-31-2019 Bill List.xls" "LP Bill List!R3C1:R45C4" </w:instrText>
      </w:r>
      <w:r>
        <w:rPr>
          <w:noProof/>
        </w:rPr>
        <w:instrText xml:space="preserve">\a \f 4 \h </w:instrText>
      </w:r>
      <w:r>
        <w:rPr>
          <w:noProof/>
        </w:rPr>
        <w:fldChar w:fldCharType="separate"/>
      </w:r>
    </w:p>
    <w:p w14:paraId="22C475C8" w14:textId="330AE3A2" w:rsidR="00F9474D" w:rsidRDefault="00F63036" w:rsidP="002F1CDA">
      <w:pPr>
        <w:spacing w:after="26"/>
        <w:ind w:left="0" w:right="28" w:firstLine="0"/>
      </w:pPr>
      <w:r>
        <w:rPr>
          <w:noProof/>
        </w:rPr>
        <w:fldChar w:fldCharType="end"/>
      </w:r>
      <w:r w:rsidR="00D2265F">
        <w:rPr>
          <w:noProof/>
        </w:rPr>
        <w:t xml:space="preserve">For </w:t>
      </w:r>
      <w:r w:rsidR="00E166EA">
        <w:rPr>
          <w:noProof/>
        </w:rPr>
        <w:t xml:space="preserve">April </w:t>
      </w:r>
      <w:r w:rsidR="00D2265F">
        <w:rPr>
          <w:noProof/>
        </w:rPr>
        <w:t xml:space="preserve">2020 – </w:t>
      </w:r>
      <w:r w:rsidR="00D2265F"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4864ED">
        <w:t>201,807.0</w:t>
      </w:r>
      <w:r w:rsidR="00D2265F">
        <w:t>1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5B2670">
        <w:t>176,688.79</w:t>
      </w:r>
    </w:p>
    <w:p w14:paraId="65E743C2" w14:textId="77777777" w:rsidR="00F9474D" w:rsidRPr="007C67B3" w:rsidRDefault="00F9474D">
      <w:pPr>
        <w:spacing w:after="0" w:line="259" w:lineRule="auto"/>
        <w:ind w:left="0" w:right="0" w:firstLine="0"/>
        <w:rPr>
          <w:szCs w:val="20"/>
        </w:rPr>
      </w:pPr>
    </w:p>
    <w:p w14:paraId="72927EFC" w14:textId="079C6A5C" w:rsidR="0042339E" w:rsidRDefault="00E356AB">
      <w:pPr>
        <w:spacing w:after="28"/>
        <w:ind w:left="-5" w:right="28"/>
      </w:pPr>
      <w:r>
        <w:t xml:space="preserve">Motion </w:t>
      </w:r>
      <w:r w:rsidR="00D2265F">
        <w:t>Ma</w:t>
      </w:r>
      <w:r w:rsidR="005401B0">
        <w:t>r</w:t>
      </w:r>
      <w:r w:rsidR="00D2265F">
        <w:t>anell</w:t>
      </w:r>
      <w:r>
        <w:t>, seconded by</w:t>
      </w:r>
      <w:r w:rsidR="008A6706">
        <w:t xml:space="preserve"> </w:t>
      </w:r>
      <w:r w:rsidR="00D2265F">
        <w:t>Boelter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E166EA">
        <w:t>April</w:t>
      </w:r>
      <w:r w:rsidR="008A6706">
        <w:t xml:space="preserve"> </w:t>
      </w:r>
      <w:r w:rsidR="00E02E84">
        <w:t>20</w:t>
      </w:r>
      <w:r w:rsidR="00D24AC6">
        <w:t>20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  <w:r w:rsidR="00A24B68">
        <w:t xml:space="preserve">Financial Report, Purchased Power Report, and Sales and Revenue Report. </w:t>
      </w:r>
      <w:r>
        <w:t xml:space="preserve">Motion carried </w:t>
      </w:r>
      <w:r w:rsidR="00734A14">
        <w:t>3</w:t>
      </w:r>
      <w:r>
        <w:t>-0.</w:t>
      </w:r>
      <w:r w:rsidR="00D24AC6">
        <w:t xml:space="preserve"> </w:t>
      </w:r>
    </w:p>
    <w:p w14:paraId="6D0E13B3" w14:textId="5016B822" w:rsidR="00D2265F" w:rsidRDefault="00D2265F">
      <w:pPr>
        <w:spacing w:after="28"/>
        <w:ind w:left="-5" w:right="28"/>
      </w:pPr>
    </w:p>
    <w:p w14:paraId="2F8AED25" w14:textId="77777777" w:rsidR="00D2265F" w:rsidRDefault="00D2265F">
      <w:pPr>
        <w:spacing w:after="28"/>
        <w:ind w:left="-5" w:right="28"/>
      </w:pPr>
    </w:p>
    <w:p w14:paraId="75CB1EF2" w14:textId="77777777" w:rsidR="007C67B3" w:rsidRDefault="007C67B3">
      <w:pPr>
        <w:spacing w:after="28"/>
        <w:ind w:left="-5" w:right="28"/>
      </w:pPr>
    </w:p>
    <w:p w14:paraId="1CD57F09" w14:textId="77777777" w:rsidR="007C67B3" w:rsidRDefault="007C67B3">
      <w:pPr>
        <w:spacing w:after="28"/>
        <w:ind w:left="-5" w:right="28"/>
      </w:pPr>
    </w:p>
    <w:p w14:paraId="0AE507BD" w14:textId="77777777" w:rsidR="007C67B3" w:rsidRDefault="007C67B3">
      <w:pPr>
        <w:spacing w:after="28"/>
        <w:ind w:left="-5" w:right="28"/>
      </w:pPr>
    </w:p>
    <w:p w14:paraId="3DA5F790" w14:textId="77777777" w:rsidR="00B2115D" w:rsidRDefault="00B2115D">
      <w:pPr>
        <w:spacing w:after="28"/>
        <w:ind w:left="-5" w:right="28"/>
      </w:pPr>
    </w:p>
    <w:p w14:paraId="50B5A685" w14:textId="77777777" w:rsidR="00FD7003" w:rsidRDefault="00FD7003">
      <w:pPr>
        <w:spacing w:after="28"/>
        <w:ind w:left="-5" w:right="28"/>
      </w:pPr>
    </w:p>
    <w:p w14:paraId="12A2BECE" w14:textId="3CE380B5" w:rsidR="00D2265F" w:rsidRDefault="00EC32FC">
      <w:pPr>
        <w:spacing w:after="28"/>
        <w:ind w:left="-5" w:right="28"/>
      </w:pPr>
      <w:r>
        <w:t>Maranell</w:t>
      </w:r>
      <w:r w:rsidR="00D2265F">
        <w:t xml:space="preserve"> introduced Resolution #2020-</w:t>
      </w:r>
      <w:r w:rsidR="005B2670">
        <w:t>10</w:t>
      </w:r>
      <w:r w:rsidR="00D2265F">
        <w:t xml:space="preserve"> “A RESOLUTION </w:t>
      </w:r>
      <w:r>
        <w:t>AWARDING CONTRACT FOR THE CONSTRUCTION AT THE NEW TRANSFORMER SITE</w:t>
      </w:r>
      <w:r w:rsidR="00D2265F">
        <w:t xml:space="preserve">” and moved the same be adopted.  Seconded by </w:t>
      </w:r>
      <w:r>
        <w:t>Boelter</w:t>
      </w:r>
      <w:r w:rsidR="00D2265F">
        <w:t>, and upon the roll being called, the following named members of the board voted:</w:t>
      </w:r>
    </w:p>
    <w:p w14:paraId="3EB5A013" w14:textId="1058F7B8" w:rsidR="00D2265F" w:rsidRDefault="00D2265F">
      <w:pPr>
        <w:spacing w:after="28"/>
        <w:ind w:left="-5" w:right="28"/>
      </w:pPr>
      <w:r>
        <w:t xml:space="preserve">AYES:  Boelter, </w:t>
      </w:r>
      <w:r w:rsidR="00EC32FC">
        <w:t xml:space="preserve">Maranell, and </w:t>
      </w:r>
      <w:r>
        <w:t>Rydberg</w:t>
      </w:r>
    </w:p>
    <w:p w14:paraId="75474E8B" w14:textId="7ECF7841" w:rsidR="00D2265F" w:rsidRDefault="00D2265F">
      <w:pPr>
        <w:spacing w:after="28"/>
        <w:ind w:left="-5" w:right="28"/>
      </w:pPr>
      <w:r>
        <w:t>NAYES:  None</w:t>
      </w:r>
    </w:p>
    <w:p w14:paraId="2751D128" w14:textId="65A31D92" w:rsidR="00A51BDB" w:rsidRDefault="00D2265F" w:rsidP="006909FB">
      <w:pPr>
        <w:spacing w:after="28"/>
        <w:ind w:left="-5" w:right="28"/>
      </w:pPr>
      <w:r>
        <w:t>Motion carried:  3-0</w:t>
      </w:r>
    </w:p>
    <w:p w14:paraId="72348331" w14:textId="77777777" w:rsidR="00A51BDB" w:rsidRDefault="00A51BDB" w:rsidP="00BE7DAA">
      <w:pPr>
        <w:spacing w:after="28"/>
        <w:ind w:left="0" w:right="28" w:firstLine="0"/>
      </w:pPr>
    </w:p>
    <w:p w14:paraId="373380DD" w14:textId="6DCC1E8D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 xml:space="preserve">set for Wednesday, </w:t>
      </w:r>
      <w:r>
        <w:t>May 27, 2020,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203BBC">
        <w:t>Maranell</w:t>
      </w:r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5401B0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4DE37F8B" w14:textId="77777777"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14:paraId="2BA0C87F" w14:textId="1610A97E" w:rsidR="00F9474D" w:rsidRDefault="00366388" w:rsidP="007C67B3">
      <w:pPr>
        <w:spacing w:after="21" w:line="259" w:lineRule="auto"/>
        <w:ind w:left="4320" w:right="0" w:firstLine="0"/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18430378" w14:textId="5DE8CB03" w:rsidR="007C67B3" w:rsidRDefault="007C67B3" w:rsidP="007C67B3">
      <w:pPr>
        <w:spacing w:after="21" w:line="259" w:lineRule="auto"/>
        <w:ind w:left="4320" w:right="0" w:firstLine="0"/>
      </w:pPr>
    </w:p>
    <w:p w14:paraId="46C129AD" w14:textId="7B68A7C9" w:rsidR="007C67B3" w:rsidRDefault="007C67B3" w:rsidP="007C67B3">
      <w:pPr>
        <w:spacing w:after="21" w:line="259" w:lineRule="auto"/>
        <w:ind w:left="4320" w:right="0" w:firstLine="0"/>
      </w:pPr>
    </w:p>
    <w:p w14:paraId="78F9D755" w14:textId="77777777" w:rsidR="007C67B3" w:rsidRDefault="007C67B3" w:rsidP="007C67B3">
      <w:pPr>
        <w:spacing w:after="21" w:line="259" w:lineRule="auto"/>
        <w:ind w:left="4320" w:right="0" w:firstLine="0"/>
        <w:jc w:val="both"/>
      </w:pPr>
    </w:p>
    <w:p w14:paraId="2C067083" w14:textId="77777777" w:rsidR="005401B0" w:rsidRDefault="005401B0" w:rsidP="00027ED7">
      <w:pPr>
        <w:spacing w:after="21" w:line="259" w:lineRule="auto"/>
        <w:ind w:left="3600" w:right="0" w:firstLine="720"/>
      </w:pPr>
    </w:p>
    <w:p w14:paraId="5238712C" w14:textId="1ED6309D" w:rsidR="00C007A3" w:rsidRDefault="00C007A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1A13BBE6" w14:textId="021C1743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0AB51B5E" w14:textId="60E79734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2FA07D40" w14:textId="3AF1C2DD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67CD5E1E" w14:textId="4CA089D4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3A4E7CB1" w14:textId="54EBE721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790EC788" w14:textId="4709B7D9" w:rsidR="00CB60A5" w:rsidRPr="00CB60A5" w:rsidRDefault="00CB60A5" w:rsidP="00CB60A5">
      <w:pPr>
        <w:rPr>
          <w:sz w:val="16"/>
          <w:szCs w:val="16"/>
        </w:rPr>
      </w:pPr>
    </w:p>
    <w:p w14:paraId="5ADEDB05" w14:textId="32852AD4" w:rsidR="00CB60A5" w:rsidRPr="00CB60A5" w:rsidRDefault="00CB60A5" w:rsidP="00CB60A5">
      <w:pPr>
        <w:rPr>
          <w:sz w:val="16"/>
          <w:szCs w:val="16"/>
        </w:rPr>
      </w:pPr>
    </w:p>
    <w:p w14:paraId="39C8E2F4" w14:textId="6AB77F9B" w:rsidR="00CB60A5" w:rsidRPr="00CB60A5" w:rsidRDefault="00CB60A5" w:rsidP="00CB60A5">
      <w:pPr>
        <w:rPr>
          <w:sz w:val="16"/>
          <w:szCs w:val="16"/>
        </w:rPr>
      </w:pPr>
    </w:p>
    <w:p w14:paraId="1CA75CC4" w14:textId="5B9E7D8E" w:rsidR="00CB60A5" w:rsidRPr="00CB60A5" w:rsidRDefault="00CB60A5" w:rsidP="00CB60A5">
      <w:pPr>
        <w:rPr>
          <w:sz w:val="16"/>
          <w:szCs w:val="16"/>
        </w:rPr>
      </w:pPr>
    </w:p>
    <w:p w14:paraId="6A438CD2" w14:textId="3C7E4522" w:rsidR="00CB60A5" w:rsidRPr="00CB60A5" w:rsidRDefault="00CB60A5" w:rsidP="00CB60A5">
      <w:pPr>
        <w:rPr>
          <w:sz w:val="16"/>
          <w:szCs w:val="16"/>
        </w:rPr>
      </w:pPr>
    </w:p>
    <w:p w14:paraId="532EF1F5" w14:textId="4B051E38" w:rsidR="00CB60A5" w:rsidRPr="00CB60A5" w:rsidRDefault="00CB60A5" w:rsidP="00CB60A5">
      <w:pPr>
        <w:rPr>
          <w:sz w:val="16"/>
          <w:szCs w:val="16"/>
        </w:rPr>
      </w:pPr>
    </w:p>
    <w:p w14:paraId="1E65187F" w14:textId="276984EC" w:rsidR="00CB60A5" w:rsidRPr="00CB60A5" w:rsidRDefault="00CB60A5" w:rsidP="00CB60A5">
      <w:pPr>
        <w:rPr>
          <w:sz w:val="16"/>
          <w:szCs w:val="16"/>
        </w:rPr>
      </w:pPr>
    </w:p>
    <w:p w14:paraId="161D21D6" w14:textId="76A7C8E2" w:rsidR="00CB60A5" w:rsidRPr="00CB60A5" w:rsidRDefault="00CB60A5" w:rsidP="00CB60A5">
      <w:pPr>
        <w:rPr>
          <w:sz w:val="16"/>
          <w:szCs w:val="16"/>
        </w:rPr>
      </w:pPr>
    </w:p>
    <w:p w14:paraId="1DD28482" w14:textId="30323330" w:rsidR="00CB60A5" w:rsidRPr="00CB60A5" w:rsidRDefault="00CB60A5" w:rsidP="00CB60A5">
      <w:pPr>
        <w:rPr>
          <w:sz w:val="16"/>
          <w:szCs w:val="16"/>
        </w:rPr>
      </w:pPr>
    </w:p>
    <w:p w14:paraId="10E2889D" w14:textId="5D9FB025" w:rsidR="00CB60A5" w:rsidRPr="00CB60A5" w:rsidRDefault="00CB60A5" w:rsidP="00CB60A5">
      <w:pPr>
        <w:rPr>
          <w:sz w:val="16"/>
          <w:szCs w:val="16"/>
        </w:rPr>
      </w:pPr>
    </w:p>
    <w:p w14:paraId="523575B9" w14:textId="67F224D4" w:rsidR="00CB60A5" w:rsidRPr="00CB60A5" w:rsidRDefault="00CB60A5" w:rsidP="00CB60A5">
      <w:pPr>
        <w:rPr>
          <w:sz w:val="16"/>
          <w:szCs w:val="16"/>
        </w:rPr>
      </w:pPr>
    </w:p>
    <w:p w14:paraId="4F7BC510" w14:textId="5A43CDCE" w:rsidR="00CB60A5" w:rsidRPr="00CB60A5" w:rsidRDefault="00CB60A5" w:rsidP="00CB60A5">
      <w:pPr>
        <w:rPr>
          <w:sz w:val="16"/>
          <w:szCs w:val="16"/>
        </w:rPr>
      </w:pPr>
    </w:p>
    <w:p w14:paraId="763B2D40" w14:textId="5743F326" w:rsidR="00CB60A5" w:rsidRPr="00CB60A5" w:rsidRDefault="00CB60A5" w:rsidP="00CB60A5">
      <w:pPr>
        <w:rPr>
          <w:sz w:val="16"/>
          <w:szCs w:val="16"/>
        </w:rPr>
      </w:pPr>
    </w:p>
    <w:p w14:paraId="64D3DF3B" w14:textId="2F27BFE3" w:rsidR="00CB60A5" w:rsidRPr="00CB60A5" w:rsidRDefault="00CB60A5" w:rsidP="00CB60A5">
      <w:pPr>
        <w:rPr>
          <w:sz w:val="16"/>
          <w:szCs w:val="16"/>
        </w:rPr>
      </w:pPr>
    </w:p>
    <w:p w14:paraId="22F93F0F" w14:textId="4EF4E2E3" w:rsidR="00CB60A5" w:rsidRPr="00CB60A5" w:rsidRDefault="00CB60A5" w:rsidP="00CB60A5">
      <w:pPr>
        <w:rPr>
          <w:sz w:val="16"/>
          <w:szCs w:val="16"/>
        </w:rPr>
      </w:pPr>
    </w:p>
    <w:p w14:paraId="23B10066" w14:textId="58690C0A" w:rsidR="00CB60A5" w:rsidRPr="00CB60A5" w:rsidRDefault="00CB60A5" w:rsidP="00CB60A5">
      <w:pPr>
        <w:rPr>
          <w:sz w:val="16"/>
          <w:szCs w:val="16"/>
        </w:rPr>
      </w:pPr>
    </w:p>
    <w:p w14:paraId="50FFC44F" w14:textId="7F1ADB05" w:rsidR="00CB60A5" w:rsidRPr="00CB60A5" w:rsidRDefault="00CB60A5" w:rsidP="00CB60A5">
      <w:pPr>
        <w:rPr>
          <w:sz w:val="16"/>
          <w:szCs w:val="16"/>
        </w:rPr>
      </w:pPr>
    </w:p>
    <w:p w14:paraId="4451443B" w14:textId="7CB3572F" w:rsidR="00CB60A5" w:rsidRPr="00CB60A5" w:rsidRDefault="00CB60A5" w:rsidP="00CB60A5">
      <w:pPr>
        <w:rPr>
          <w:sz w:val="16"/>
          <w:szCs w:val="16"/>
        </w:rPr>
      </w:pPr>
    </w:p>
    <w:p w14:paraId="0724986B" w14:textId="21F7FB8B" w:rsidR="00CB60A5" w:rsidRPr="00CB60A5" w:rsidRDefault="00CB60A5" w:rsidP="00CB60A5">
      <w:pPr>
        <w:rPr>
          <w:sz w:val="16"/>
          <w:szCs w:val="16"/>
        </w:rPr>
      </w:pPr>
    </w:p>
    <w:p w14:paraId="4179BF97" w14:textId="76B7D141" w:rsidR="00CB60A5" w:rsidRPr="00CB60A5" w:rsidRDefault="00CB60A5" w:rsidP="00CB60A5">
      <w:pPr>
        <w:rPr>
          <w:sz w:val="16"/>
          <w:szCs w:val="16"/>
        </w:rPr>
      </w:pPr>
    </w:p>
    <w:p w14:paraId="04E39CCF" w14:textId="2B035DC8" w:rsidR="00CB60A5" w:rsidRPr="00CB60A5" w:rsidRDefault="00CB60A5" w:rsidP="00CB60A5">
      <w:pPr>
        <w:rPr>
          <w:sz w:val="16"/>
          <w:szCs w:val="16"/>
        </w:rPr>
      </w:pPr>
    </w:p>
    <w:p w14:paraId="3B319E6B" w14:textId="799743C3" w:rsidR="00CB60A5" w:rsidRPr="00CB60A5" w:rsidRDefault="00CB60A5" w:rsidP="00CB60A5">
      <w:pPr>
        <w:rPr>
          <w:sz w:val="16"/>
          <w:szCs w:val="16"/>
        </w:rPr>
      </w:pPr>
    </w:p>
    <w:p w14:paraId="3B0F8853" w14:textId="5DEDB4FD" w:rsidR="00CB60A5" w:rsidRPr="00CB60A5" w:rsidRDefault="00CB60A5" w:rsidP="00CB60A5">
      <w:pPr>
        <w:rPr>
          <w:sz w:val="16"/>
          <w:szCs w:val="16"/>
        </w:rPr>
      </w:pPr>
    </w:p>
    <w:p w14:paraId="034529C7" w14:textId="0F605EEF" w:rsidR="00CB60A5" w:rsidRPr="00CB60A5" w:rsidRDefault="00CB60A5" w:rsidP="00CB60A5">
      <w:pPr>
        <w:rPr>
          <w:sz w:val="16"/>
          <w:szCs w:val="16"/>
        </w:rPr>
      </w:pPr>
    </w:p>
    <w:p w14:paraId="7F26ADAC" w14:textId="09E18ED5" w:rsidR="00CB60A5" w:rsidRPr="00CB60A5" w:rsidRDefault="00CB60A5" w:rsidP="00CB60A5">
      <w:pPr>
        <w:rPr>
          <w:sz w:val="16"/>
          <w:szCs w:val="16"/>
        </w:rPr>
      </w:pPr>
    </w:p>
    <w:p w14:paraId="2D3131DC" w14:textId="53528C67" w:rsidR="00CB60A5" w:rsidRPr="00CB60A5" w:rsidRDefault="00CB60A5" w:rsidP="00CB60A5">
      <w:pPr>
        <w:rPr>
          <w:sz w:val="16"/>
          <w:szCs w:val="16"/>
        </w:rPr>
      </w:pPr>
    </w:p>
    <w:p w14:paraId="20E13033" w14:textId="7A02D3C3" w:rsidR="00CB60A5" w:rsidRPr="00CB60A5" w:rsidRDefault="00CB60A5" w:rsidP="00CB60A5">
      <w:pPr>
        <w:rPr>
          <w:sz w:val="16"/>
          <w:szCs w:val="16"/>
        </w:rPr>
      </w:pPr>
    </w:p>
    <w:p w14:paraId="5982EBBB" w14:textId="0E9A4392" w:rsidR="00CB60A5" w:rsidRPr="00CB60A5" w:rsidRDefault="00CB60A5" w:rsidP="00CB60A5">
      <w:pPr>
        <w:rPr>
          <w:sz w:val="16"/>
          <w:szCs w:val="16"/>
        </w:rPr>
      </w:pPr>
    </w:p>
    <w:p w14:paraId="4F1EFB53" w14:textId="729C7D56" w:rsidR="00CB60A5" w:rsidRPr="00CB60A5" w:rsidRDefault="00CB60A5" w:rsidP="00CB60A5">
      <w:pPr>
        <w:rPr>
          <w:sz w:val="16"/>
          <w:szCs w:val="16"/>
        </w:rPr>
      </w:pPr>
    </w:p>
    <w:p w14:paraId="78813271" w14:textId="0F790FF7" w:rsidR="00CB60A5" w:rsidRPr="00CB60A5" w:rsidRDefault="00CB60A5" w:rsidP="00CB60A5">
      <w:pPr>
        <w:rPr>
          <w:sz w:val="16"/>
          <w:szCs w:val="16"/>
        </w:rPr>
      </w:pPr>
    </w:p>
    <w:p w14:paraId="32663466" w14:textId="15F4F357" w:rsidR="00CB60A5" w:rsidRPr="00CB60A5" w:rsidRDefault="00CB60A5" w:rsidP="00CB60A5">
      <w:pPr>
        <w:rPr>
          <w:sz w:val="16"/>
          <w:szCs w:val="16"/>
        </w:rPr>
      </w:pPr>
    </w:p>
    <w:p w14:paraId="7128129D" w14:textId="295F1237" w:rsidR="00CB60A5" w:rsidRPr="00CB60A5" w:rsidRDefault="00CB60A5" w:rsidP="00CB60A5">
      <w:pPr>
        <w:rPr>
          <w:sz w:val="16"/>
          <w:szCs w:val="16"/>
        </w:rPr>
      </w:pPr>
    </w:p>
    <w:p w14:paraId="3F4A8127" w14:textId="28497F59" w:rsidR="00CB60A5" w:rsidRPr="00CB60A5" w:rsidRDefault="00CB60A5" w:rsidP="00CB60A5">
      <w:pPr>
        <w:rPr>
          <w:sz w:val="16"/>
          <w:szCs w:val="16"/>
        </w:rPr>
      </w:pPr>
    </w:p>
    <w:p w14:paraId="26A74C6E" w14:textId="7B2BDC4B" w:rsidR="00CB60A5" w:rsidRPr="00CB60A5" w:rsidRDefault="00CB60A5" w:rsidP="00CB60A5">
      <w:pPr>
        <w:rPr>
          <w:sz w:val="16"/>
          <w:szCs w:val="16"/>
        </w:rPr>
      </w:pPr>
    </w:p>
    <w:p w14:paraId="5CAF1C42" w14:textId="44DC0949" w:rsidR="00CB60A5" w:rsidRPr="00CB60A5" w:rsidRDefault="00CB60A5" w:rsidP="00CB60A5">
      <w:pPr>
        <w:rPr>
          <w:sz w:val="16"/>
          <w:szCs w:val="16"/>
        </w:rPr>
      </w:pPr>
    </w:p>
    <w:p w14:paraId="485D1248" w14:textId="3593290D" w:rsidR="00CB60A5" w:rsidRDefault="00CB60A5" w:rsidP="00CB60A5">
      <w:pPr>
        <w:rPr>
          <w:sz w:val="16"/>
          <w:szCs w:val="16"/>
        </w:rPr>
      </w:pPr>
    </w:p>
    <w:p w14:paraId="699AA9D8" w14:textId="06E6EEAE" w:rsidR="00CB60A5" w:rsidRDefault="00CB60A5" w:rsidP="00CB60A5">
      <w:pPr>
        <w:rPr>
          <w:sz w:val="16"/>
          <w:szCs w:val="16"/>
        </w:rPr>
      </w:pPr>
    </w:p>
    <w:p w14:paraId="4BC62100" w14:textId="77777777" w:rsidR="00B2115D" w:rsidRDefault="00B2115D" w:rsidP="00CB60A5">
      <w:pPr>
        <w:rPr>
          <w:sz w:val="18"/>
          <w:szCs w:val="18"/>
        </w:rPr>
      </w:pPr>
    </w:p>
    <w:p w14:paraId="3DD2070F" w14:textId="77777777" w:rsidR="00B2115D" w:rsidRDefault="00B2115D" w:rsidP="00CB60A5">
      <w:pPr>
        <w:rPr>
          <w:sz w:val="18"/>
          <w:szCs w:val="18"/>
        </w:rPr>
      </w:pPr>
    </w:p>
    <w:p w14:paraId="7E45A919" w14:textId="77777777" w:rsidR="00B2115D" w:rsidRDefault="00B2115D" w:rsidP="00CB60A5">
      <w:pPr>
        <w:rPr>
          <w:sz w:val="18"/>
          <w:szCs w:val="18"/>
        </w:rPr>
      </w:pPr>
    </w:p>
    <w:p w14:paraId="1296DD61" w14:textId="77777777" w:rsidR="00B2115D" w:rsidRDefault="00B2115D" w:rsidP="00CB60A5">
      <w:pPr>
        <w:rPr>
          <w:sz w:val="18"/>
          <w:szCs w:val="18"/>
        </w:rPr>
      </w:pPr>
    </w:p>
    <w:p w14:paraId="5EA80B96" w14:textId="77777777" w:rsidR="00B2115D" w:rsidRDefault="00B2115D" w:rsidP="00CB60A5">
      <w:pPr>
        <w:rPr>
          <w:sz w:val="18"/>
          <w:szCs w:val="18"/>
        </w:rPr>
      </w:pPr>
    </w:p>
    <w:p w14:paraId="4F08F7EF" w14:textId="77777777" w:rsidR="00B2115D" w:rsidRDefault="00B2115D" w:rsidP="00CB60A5">
      <w:pPr>
        <w:rPr>
          <w:sz w:val="18"/>
          <w:szCs w:val="18"/>
        </w:rPr>
      </w:pPr>
    </w:p>
    <w:p w14:paraId="2CB3E291" w14:textId="77777777" w:rsidR="00B2115D" w:rsidRDefault="00B2115D" w:rsidP="00CB60A5">
      <w:pPr>
        <w:rPr>
          <w:sz w:val="18"/>
          <w:szCs w:val="18"/>
        </w:rPr>
      </w:pPr>
    </w:p>
    <w:p w14:paraId="1AE4B07A" w14:textId="77777777" w:rsidR="00B2115D" w:rsidRDefault="00B2115D" w:rsidP="00CB60A5">
      <w:pPr>
        <w:rPr>
          <w:sz w:val="18"/>
          <w:szCs w:val="18"/>
        </w:rPr>
      </w:pPr>
    </w:p>
    <w:p w14:paraId="53BF30AD" w14:textId="77777777" w:rsidR="00B2115D" w:rsidRDefault="00B2115D" w:rsidP="00CB60A5">
      <w:pPr>
        <w:rPr>
          <w:sz w:val="18"/>
          <w:szCs w:val="18"/>
        </w:rPr>
      </w:pPr>
    </w:p>
    <w:p w14:paraId="70E312F8" w14:textId="77777777" w:rsidR="00B2115D" w:rsidRDefault="00B2115D" w:rsidP="00CB60A5">
      <w:pPr>
        <w:rPr>
          <w:sz w:val="18"/>
          <w:szCs w:val="18"/>
        </w:rPr>
      </w:pPr>
    </w:p>
    <w:p w14:paraId="21DEA7D8" w14:textId="77777777" w:rsidR="00B2115D" w:rsidRDefault="00B2115D" w:rsidP="00CB60A5">
      <w:pPr>
        <w:rPr>
          <w:sz w:val="18"/>
          <w:szCs w:val="18"/>
        </w:rPr>
      </w:pPr>
    </w:p>
    <w:p w14:paraId="3E5A7444" w14:textId="77777777" w:rsidR="00B2115D" w:rsidRDefault="00B2115D" w:rsidP="00CB60A5">
      <w:pPr>
        <w:rPr>
          <w:sz w:val="18"/>
          <w:szCs w:val="18"/>
        </w:rPr>
      </w:pPr>
    </w:p>
    <w:p w14:paraId="619ED49C" w14:textId="77777777" w:rsidR="00B2115D" w:rsidRDefault="00B2115D" w:rsidP="00CB60A5">
      <w:pPr>
        <w:rPr>
          <w:sz w:val="18"/>
          <w:szCs w:val="18"/>
        </w:rPr>
      </w:pPr>
    </w:p>
    <w:p w14:paraId="645F4DFE" w14:textId="5259FF2A" w:rsidR="00CB60A5" w:rsidRPr="00CB60A5" w:rsidRDefault="00CB60A5" w:rsidP="00CB60A5">
      <w:pPr>
        <w:rPr>
          <w:sz w:val="18"/>
          <w:szCs w:val="18"/>
        </w:rPr>
      </w:pPr>
      <w:r>
        <w:rPr>
          <w:sz w:val="18"/>
          <w:szCs w:val="18"/>
        </w:rPr>
        <w:t>Prepared by Michelle Vos</w:t>
      </w:r>
    </w:p>
    <w:p w14:paraId="617CAC32" w14:textId="77777777" w:rsidR="00CB60A5" w:rsidRPr="00CB60A5" w:rsidRDefault="00CB60A5" w:rsidP="00CB60A5">
      <w:pPr>
        <w:rPr>
          <w:sz w:val="16"/>
          <w:szCs w:val="16"/>
        </w:rPr>
      </w:pPr>
    </w:p>
    <w:sectPr w:rsidR="00CB60A5" w:rsidRPr="00CB60A5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5F63"/>
    <w:rsid w:val="00027539"/>
    <w:rsid w:val="00027ED7"/>
    <w:rsid w:val="00035FBC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22EE5"/>
    <w:rsid w:val="00133669"/>
    <w:rsid w:val="001348C0"/>
    <w:rsid w:val="00145669"/>
    <w:rsid w:val="00147E3C"/>
    <w:rsid w:val="0015044C"/>
    <w:rsid w:val="001541A8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6B10"/>
    <w:rsid w:val="0021291D"/>
    <w:rsid w:val="00213DDC"/>
    <w:rsid w:val="002307C0"/>
    <w:rsid w:val="00242BBE"/>
    <w:rsid w:val="00244198"/>
    <w:rsid w:val="00246C73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44BE"/>
    <w:rsid w:val="00287A1C"/>
    <w:rsid w:val="00291AD9"/>
    <w:rsid w:val="002A1246"/>
    <w:rsid w:val="002B1AC3"/>
    <w:rsid w:val="002C2F69"/>
    <w:rsid w:val="002C2FBE"/>
    <w:rsid w:val="002D2E05"/>
    <w:rsid w:val="002E70CF"/>
    <w:rsid w:val="002F1CDA"/>
    <w:rsid w:val="002F7F73"/>
    <w:rsid w:val="00305ED9"/>
    <w:rsid w:val="00311568"/>
    <w:rsid w:val="003212A7"/>
    <w:rsid w:val="00327E72"/>
    <w:rsid w:val="0034190C"/>
    <w:rsid w:val="003467C7"/>
    <w:rsid w:val="003540E8"/>
    <w:rsid w:val="00355562"/>
    <w:rsid w:val="00361E09"/>
    <w:rsid w:val="00362118"/>
    <w:rsid w:val="00366388"/>
    <w:rsid w:val="00375A9B"/>
    <w:rsid w:val="00376988"/>
    <w:rsid w:val="003905F3"/>
    <w:rsid w:val="00392259"/>
    <w:rsid w:val="003B2279"/>
    <w:rsid w:val="003C72F9"/>
    <w:rsid w:val="003D5A65"/>
    <w:rsid w:val="003D7731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181D"/>
    <w:rsid w:val="00445549"/>
    <w:rsid w:val="00467D3F"/>
    <w:rsid w:val="00470E2A"/>
    <w:rsid w:val="00473679"/>
    <w:rsid w:val="004864ED"/>
    <w:rsid w:val="004912B6"/>
    <w:rsid w:val="00492243"/>
    <w:rsid w:val="004B2AB8"/>
    <w:rsid w:val="004D6DA4"/>
    <w:rsid w:val="004E0CD1"/>
    <w:rsid w:val="004E120A"/>
    <w:rsid w:val="004E2384"/>
    <w:rsid w:val="004F1133"/>
    <w:rsid w:val="004F71BA"/>
    <w:rsid w:val="005014A6"/>
    <w:rsid w:val="00524589"/>
    <w:rsid w:val="005401B0"/>
    <w:rsid w:val="00552750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09FB"/>
    <w:rsid w:val="00691F0D"/>
    <w:rsid w:val="00693DBF"/>
    <w:rsid w:val="006A0E99"/>
    <w:rsid w:val="006A1A6F"/>
    <w:rsid w:val="006A228A"/>
    <w:rsid w:val="006A4703"/>
    <w:rsid w:val="006C07DA"/>
    <w:rsid w:val="006D2468"/>
    <w:rsid w:val="006D3F7A"/>
    <w:rsid w:val="00713646"/>
    <w:rsid w:val="00717D04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F05ED"/>
    <w:rsid w:val="007F5DFC"/>
    <w:rsid w:val="008023B7"/>
    <w:rsid w:val="00813581"/>
    <w:rsid w:val="00831FAE"/>
    <w:rsid w:val="00832C0F"/>
    <w:rsid w:val="008340E5"/>
    <w:rsid w:val="00836AE0"/>
    <w:rsid w:val="00847D55"/>
    <w:rsid w:val="00852021"/>
    <w:rsid w:val="00852242"/>
    <w:rsid w:val="00853F9D"/>
    <w:rsid w:val="008608D2"/>
    <w:rsid w:val="00861210"/>
    <w:rsid w:val="0086258B"/>
    <w:rsid w:val="008A5089"/>
    <w:rsid w:val="008A6706"/>
    <w:rsid w:val="008B6123"/>
    <w:rsid w:val="008B723F"/>
    <w:rsid w:val="008C5598"/>
    <w:rsid w:val="008D46C2"/>
    <w:rsid w:val="008E2068"/>
    <w:rsid w:val="008E31BB"/>
    <w:rsid w:val="008F18D2"/>
    <w:rsid w:val="008F4226"/>
    <w:rsid w:val="008F7DF6"/>
    <w:rsid w:val="00901C16"/>
    <w:rsid w:val="00912EC3"/>
    <w:rsid w:val="00917AF6"/>
    <w:rsid w:val="00921640"/>
    <w:rsid w:val="00927227"/>
    <w:rsid w:val="0093709C"/>
    <w:rsid w:val="00960199"/>
    <w:rsid w:val="00971BFF"/>
    <w:rsid w:val="00975D71"/>
    <w:rsid w:val="00997F88"/>
    <w:rsid w:val="009A1509"/>
    <w:rsid w:val="009A4776"/>
    <w:rsid w:val="009C2845"/>
    <w:rsid w:val="009C6277"/>
    <w:rsid w:val="009F04F9"/>
    <w:rsid w:val="009F2A14"/>
    <w:rsid w:val="009F7B09"/>
    <w:rsid w:val="00A14471"/>
    <w:rsid w:val="00A24B68"/>
    <w:rsid w:val="00A30904"/>
    <w:rsid w:val="00A51BC1"/>
    <w:rsid w:val="00A51BDB"/>
    <w:rsid w:val="00A61A98"/>
    <w:rsid w:val="00A84701"/>
    <w:rsid w:val="00A8597C"/>
    <w:rsid w:val="00A96B7D"/>
    <w:rsid w:val="00AA42B6"/>
    <w:rsid w:val="00AB0FCD"/>
    <w:rsid w:val="00AC73B0"/>
    <w:rsid w:val="00AD2696"/>
    <w:rsid w:val="00AD2FAB"/>
    <w:rsid w:val="00AE4EBE"/>
    <w:rsid w:val="00AF4A0F"/>
    <w:rsid w:val="00B0145A"/>
    <w:rsid w:val="00B04AA0"/>
    <w:rsid w:val="00B0549E"/>
    <w:rsid w:val="00B07219"/>
    <w:rsid w:val="00B11437"/>
    <w:rsid w:val="00B2115D"/>
    <w:rsid w:val="00B247E5"/>
    <w:rsid w:val="00B43F4F"/>
    <w:rsid w:val="00B50662"/>
    <w:rsid w:val="00B51D65"/>
    <w:rsid w:val="00B62088"/>
    <w:rsid w:val="00B638D2"/>
    <w:rsid w:val="00B72E0A"/>
    <w:rsid w:val="00B757A6"/>
    <w:rsid w:val="00B768B4"/>
    <w:rsid w:val="00B83C73"/>
    <w:rsid w:val="00B861AC"/>
    <w:rsid w:val="00BA1109"/>
    <w:rsid w:val="00BB0D4C"/>
    <w:rsid w:val="00BB183D"/>
    <w:rsid w:val="00BE515B"/>
    <w:rsid w:val="00BE548D"/>
    <w:rsid w:val="00BE77C9"/>
    <w:rsid w:val="00BE7DAA"/>
    <w:rsid w:val="00BF23B3"/>
    <w:rsid w:val="00BF62A3"/>
    <w:rsid w:val="00BF6F80"/>
    <w:rsid w:val="00C007A3"/>
    <w:rsid w:val="00C01884"/>
    <w:rsid w:val="00C11E95"/>
    <w:rsid w:val="00C145D8"/>
    <w:rsid w:val="00C2481A"/>
    <w:rsid w:val="00C377D4"/>
    <w:rsid w:val="00C37C8A"/>
    <w:rsid w:val="00C41CD6"/>
    <w:rsid w:val="00C46577"/>
    <w:rsid w:val="00C55928"/>
    <w:rsid w:val="00C64F14"/>
    <w:rsid w:val="00C83E08"/>
    <w:rsid w:val="00C87C8C"/>
    <w:rsid w:val="00C9000A"/>
    <w:rsid w:val="00CA66B3"/>
    <w:rsid w:val="00CB60A5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771C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A16E0"/>
    <w:rsid w:val="00DB4B2D"/>
    <w:rsid w:val="00DC18B4"/>
    <w:rsid w:val="00DC1BDA"/>
    <w:rsid w:val="00DC36BD"/>
    <w:rsid w:val="00DD71EC"/>
    <w:rsid w:val="00DE34F1"/>
    <w:rsid w:val="00DE4F14"/>
    <w:rsid w:val="00DF0AD9"/>
    <w:rsid w:val="00E02E84"/>
    <w:rsid w:val="00E166EA"/>
    <w:rsid w:val="00E16EEB"/>
    <w:rsid w:val="00E22FD3"/>
    <w:rsid w:val="00E2370B"/>
    <w:rsid w:val="00E24B46"/>
    <w:rsid w:val="00E2596E"/>
    <w:rsid w:val="00E26835"/>
    <w:rsid w:val="00E27AF5"/>
    <w:rsid w:val="00E356AB"/>
    <w:rsid w:val="00E500A7"/>
    <w:rsid w:val="00E53AA0"/>
    <w:rsid w:val="00E5414D"/>
    <w:rsid w:val="00E6027E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C32FC"/>
    <w:rsid w:val="00EC34F1"/>
    <w:rsid w:val="00EC4CA1"/>
    <w:rsid w:val="00EC7618"/>
    <w:rsid w:val="00EC7E38"/>
    <w:rsid w:val="00EE7A5F"/>
    <w:rsid w:val="00EF1DD0"/>
    <w:rsid w:val="00EF262A"/>
    <w:rsid w:val="00F02971"/>
    <w:rsid w:val="00F223A7"/>
    <w:rsid w:val="00F35EC1"/>
    <w:rsid w:val="00F5721E"/>
    <w:rsid w:val="00F63036"/>
    <w:rsid w:val="00F64791"/>
    <w:rsid w:val="00F664C4"/>
    <w:rsid w:val="00F7486D"/>
    <w:rsid w:val="00F7630E"/>
    <w:rsid w:val="00F811B1"/>
    <w:rsid w:val="00F908B2"/>
    <w:rsid w:val="00F93684"/>
    <w:rsid w:val="00F9474D"/>
    <w:rsid w:val="00FA260B"/>
    <w:rsid w:val="00FB10E6"/>
    <w:rsid w:val="00FB73B6"/>
    <w:rsid w:val="00FC6CD2"/>
    <w:rsid w:val="00FD7003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Amber Jederberg</dc:creator>
  <cp:lastModifiedBy>Utility Clerk</cp:lastModifiedBy>
  <cp:revision>5</cp:revision>
  <cp:lastPrinted>2020-02-27T18:01:00Z</cp:lastPrinted>
  <dcterms:created xsi:type="dcterms:W3CDTF">2020-06-02T20:54:00Z</dcterms:created>
  <dcterms:modified xsi:type="dcterms:W3CDTF">2020-06-02T21:14:00Z</dcterms:modified>
</cp:coreProperties>
</file>